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324</w:t>
      </w:r>
    </w:p>
    <w:p>
      <w:r>
        <w:t>Bundesgericht (BGE), 2015-01-13, FR</w:t>
      </w:r>
    </w:p>
    <w:p>
      <w:r>
        <w:rPr>
          <w:b/>
        </w:rPr>
        <w:t xml:space="preserve">Quelle: </w:t>
      </w:r>
      <w:r>
        <w:t>https://mcp.opencaselaw.ch/entscheid/bge_142 IV 324</w:t>
      </w:r>
    </w:p>
    <w:p>
      <w:r>
        <w:t>FR: ATF 142 IV 324</w:t>
      </w:r>
    </w:p>
    <w:p>
      <w:r>
        <w:t>IT: DTF 142 IV 324</w:t>
      </w:r>
    </w:p>
    <w:p>
      <w:pPr>
        <w:pStyle w:val="Heading2"/>
      </w:pPr>
      <w:r>
        <w:t>Regeste</w:t>
      </w:r>
    </w:p>
    <w:p>
      <w:r>
        <w:t>Regeste Art. 91a Abs. 1 SVG; Vereitelung von Massnahmen zur Feststellung der Fahrunfähigkeit. Der an einem Unfall beteiligte Fahrzeuglenker muss grundsätzlich damit rechnen, dass er sich einer Alkoholkontrolle unterziehen muss (E. 1.1.3).</w:t>
      </w:r>
    </w:p>
    <w:p>
      <w:pPr>
        <w:pStyle w:val="Heading2"/>
      </w:pPr>
      <w:r>
        <w:t>Erwägungen</w:t>
      </w:r>
    </w:p>
    <w:p>
      <w:r>
        <w:rPr>
          <w:b/>
        </w:rPr>
        <w:t>E. 1</w:t>
      </w:r>
    </w:p>
    <w:p>
      <w:r>
        <w:t>Le recourant reproche à la cour cantonale d'avoir violé l' art. 91a al. 1 LCR . Il soutient que les éléments constitutifs objectifs et subjectifs de l'entrave aux mesures de constatation de l'incapacité de conduire ne sont pas réalisés.</w:t>
      </w:r>
    </w:p>
    <w:p>
      <w:r>
        <w:rPr>
          <w:b/>
        </w:rPr>
        <w:t>E. 1.1.1</w:t>
      </w:r>
    </w:p>
    <w:p>
      <w:r>
        <w:t>Aux termes de l' art.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BGE 142 IV 324 S. 326 Comme sous l'ancien art. 91 al. 3 LCR ,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consid. 2a p. 55 s.; arrêts 6B_17/2012 du 30 avril 2012 consid. 3.2.1 et 6B_168/2009 du 19 mai 2009 consid. 1.2). Déterminer si une mesure de constatation de l'état d'incapacité du conducteur était hautement vraisemblable est une question de droit que le Tribunal fédéral examine librement (voir arrêt 6B_927/2014 du 16 janvier 2015 consid. 2.3 et l'arrêt cité).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Indépendamment du devoir d'aviser la police en cas d'accident, le fait de consommer de l'alcool après un accident pouvant motiver un ordre de prise de sang peut remplir les conditions objectives de l'entrave au sens de l' art. 91a LCR . Sur le plan objectif, il est nécessaire que la prise de sang ait été hautement vraisemblable et que la consommation d'alcool après l'accident alléguée ait rendu impossible la constatation de l'alcoolémie au moment déterminant. Subjectivement, il faut que le conducteur ait eu la conscience de la haute vraisemblance de la prise de sang et qu'il ait voulu entraver cette mesure (voir ATF 131 IV 36 consid. 2.2.4 p. 40 rendu sous l'empire de l'ancien art. 91 al. 3 LCR ; ATF 114 IV 148 consid. 3).</w:t>
      </w:r>
    </w:p>
    <w:p>
      <w:r>
        <w:rPr>
          <w:b/>
        </w:rPr>
        <w:t>E. 1.1.2</w:t>
      </w:r>
    </w:p>
    <w:p>
      <w:r>
        <w:t>Conformément à l' art. 55 al. 1 LCR , les conducteurs de véhicules, de même que les autres usagers de la route impliqués dans un accident, peuvent être soumis à un alcootest. Depuis l'entrée en vigueur de cette disposition le 1 er janvier 2005, il est possible d'ordonner une telle investigation même en l'absence de tout soupçon préalable, alors que l'ancien art. 55 al. 2 LCR prévoyait "un examen approprié lorsque les indices permettent de conclure qu'ils sont pris de boisson". Par ailleurs, depuis le 1 er janvier 2008, l'art. 10 al. 1 de l'ordonnance du 28 mars 2007 sur le contrôle de la circulation routière (OCCR; RS 741.013) permet à la police de procéder de manière systématique à des tests préliminaires pour déterminer s'il y a BGE 142 IV 324 S. 327 eu consommation d'alcool. Cette évolution législative étend le champ des situations dans lesquelles des mesures visant à établir l'alcoolémie des usagers de la route sont ordonnées.</w:t>
      </w:r>
    </w:p>
    <w:p>
      <w:r>
        <w:rPr>
          <w:b/>
        </w:rPr>
        <w:t>E. 1.1.3</w:t>
      </w:r>
    </w:p>
    <w:p>
      <w:r>
        <w:t>En considération de l'évolution législative qui précède, il y a de manière générale lieu de s'attendre à un contrôle de l'alcoolémie à l'alcootest en cas d'accident, sous réserve que celui-ci soit indubitablement imputable à une cause totalement indépendante du conducteur.</w:t>
      </w:r>
    </w:p>
    <w:p>
      <w:r>
        <w:rPr>
          <w:b/>
        </w:rPr>
        <w:t>E. 1.2</w:t>
      </w:r>
    </w:p>
    <w:p>
      <w:r>
        <w:t>La cour cantonale a admis que le recourant pouvait s'attendre à ce que la police procède à un contrôle afin d'établir s'il était pris de boisson au moment des faits, au motif qu'il avait percuté du gibier, qu'il faisait nuit au moment de l'accident, que son véhicule ne pouvait plus rouler, qu'il sentait l'alcool et que ses déclarations relatives à sa consommation d'alcool étaient contradictoires. Le recourant soutient que tel n'était pas le cas et conteste avoir eu conscience qu'une prise de sang était hautement vraisemblable et avoir cherché à se dérober à cette mesure.</w:t>
      </w:r>
    </w:p>
    <w:p>
      <w:r>
        <w:rPr>
          <w:b/>
        </w:rPr>
        <w:t>E. 1.3</w:t>
      </w:r>
    </w:p>
    <w:p>
      <w:r>
        <w:t>Les circonstances de l'accident provoqué par le recourant ne peuvent pas être considérées comme banales puisque celui-ci a percuté un sanglier sans qu'aucun élément particulier n'explique la collision. Dans une telle configuration, l'ordre de se soumettre à un contrôle d'alcoolémie apparaissait comme hautement vraisemblable, ce qui ne pouvait échapper au recourant, de sorte que tant l'aspect objectif que subjectif de l'infraction sont réalisés. Le jugement attaqué ne retient par ailleurs pas que la fixation de l'alcoolémie au moment déterminant aurait été possible en l'espèce nonobstant la consommation d'alcool (Carmol) après l'accident. Il faut ainsi retenir que le comportement du recourant a rendu impossible la constatation de son état au moment déterminant. L'infraction est réalisée.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